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3D" w:rsidRPr="004E7067" w:rsidRDefault="000E623D" w:rsidP="000E623D">
      <w:pPr>
        <w:jc w:val="both"/>
        <w:rPr>
          <w:rFonts w:ascii="Arial" w:hAnsi="Arial" w:cs="Arial"/>
          <w:lang/>
        </w:rPr>
      </w:pPr>
    </w:p>
    <w:p w:rsidR="0074287F" w:rsidRDefault="0074287F" w:rsidP="007A5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 „ Пекара Кикинада „ у стечају</w:t>
      </w:r>
    </w:p>
    <w:p w:rsidR="0074287F" w:rsidRDefault="000E623D" w:rsidP="007A55D3">
      <w:pPr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>Место</w:t>
      </w:r>
      <w:r w:rsidR="0074287F">
        <w:rPr>
          <w:rFonts w:ascii="Arial" w:hAnsi="Arial" w:cs="Arial"/>
          <w:sz w:val="22"/>
          <w:szCs w:val="22"/>
        </w:rPr>
        <w:t>: Кик</w:t>
      </w:r>
      <w:r w:rsidR="004E7067">
        <w:rPr>
          <w:rFonts w:ascii="Arial" w:hAnsi="Arial" w:cs="Arial"/>
          <w:sz w:val="22"/>
          <w:szCs w:val="22"/>
          <w:lang/>
        </w:rPr>
        <w:t>и</w:t>
      </w:r>
      <w:r w:rsidR="0074287F">
        <w:rPr>
          <w:rFonts w:ascii="Arial" w:hAnsi="Arial" w:cs="Arial"/>
          <w:sz w:val="22"/>
          <w:szCs w:val="22"/>
        </w:rPr>
        <w:t>нда, Светосавска 59</w:t>
      </w:r>
    </w:p>
    <w:p w:rsidR="0074287F" w:rsidRDefault="000E623D" w:rsidP="007A55D3">
      <w:pPr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 xml:space="preserve"> </w:t>
      </w:r>
    </w:p>
    <w:p w:rsidR="000E623D" w:rsidRPr="00905130" w:rsidRDefault="007A55D3" w:rsidP="007A5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</w:t>
      </w:r>
      <w:r w:rsidR="000E623D" w:rsidRPr="00905130">
        <w:rPr>
          <w:rFonts w:ascii="Arial" w:hAnsi="Arial" w:cs="Arial"/>
          <w:sz w:val="22"/>
          <w:szCs w:val="22"/>
        </w:rPr>
        <w:t xml:space="preserve">нтакт телефон: </w:t>
      </w:r>
      <w:r>
        <w:rPr>
          <w:rFonts w:ascii="Arial" w:hAnsi="Arial" w:cs="Arial"/>
          <w:sz w:val="22"/>
          <w:szCs w:val="22"/>
        </w:rPr>
        <w:t>060/0502060</w:t>
      </w:r>
      <w:r w:rsidR="000E623D" w:rsidRPr="00905130">
        <w:rPr>
          <w:rFonts w:ascii="Arial" w:hAnsi="Arial" w:cs="Arial"/>
          <w:sz w:val="22"/>
          <w:szCs w:val="22"/>
        </w:rPr>
        <w:t xml:space="preserve"> </w:t>
      </w:r>
    </w:p>
    <w:p w:rsidR="000E623D" w:rsidRPr="00905130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</w:p>
    <w:p w:rsidR="000E623D" w:rsidRPr="00905130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Стечајном дужнику</w:t>
      </w:r>
      <w:r w:rsidR="004A3FA3">
        <w:rPr>
          <w:rFonts w:ascii="Arial" w:hAnsi="Arial" w:cs="Arial"/>
          <w:color w:val="000000"/>
          <w:sz w:val="22"/>
          <w:szCs w:val="22"/>
        </w:rPr>
        <w:t xml:space="preserve"> АД“ Пекара  Кикинда „ </w:t>
      </w:r>
      <w:r w:rsidR="00E43CC4">
        <w:rPr>
          <w:rFonts w:ascii="Arial" w:hAnsi="Arial" w:cs="Arial"/>
          <w:color w:val="000000"/>
          <w:sz w:val="22"/>
          <w:szCs w:val="22"/>
        </w:rPr>
        <w:t>у стечају</w:t>
      </w:r>
    </w:p>
    <w:p w:rsidR="000E623D" w:rsidRPr="00905130" w:rsidRDefault="000E623D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  <w:lang w:val="en-US"/>
        </w:rPr>
      </w:pPr>
      <w:r w:rsidRPr="00905130">
        <w:rPr>
          <w:rFonts w:ascii="Arial" w:hAnsi="Arial" w:cs="Arial"/>
          <w:color w:val="000000"/>
          <w:sz w:val="22"/>
          <w:szCs w:val="22"/>
        </w:rPr>
        <w:t>Стечајном судији</w:t>
      </w:r>
      <w:r w:rsidR="00E43CC4">
        <w:rPr>
          <w:rFonts w:ascii="Arial" w:hAnsi="Arial" w:cs="Arial"/>
          <w:color w:val="000000"/>
          <w:sz w:val="22"/>
          <w:szCs w:val="22"/>
        </w:rPr>
        <w:t>: Радомир Радојчић</w:t>
      </w:r>
    </w:p>
    <w:p w:rsidR="000E623D" w:rsidRDefault="00E43CC4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Одбору поверилаца: АД“ Пекара Кикинда „ у стечају</w:t>
      </w:r>
    </w:p>
    <w:p w:rsidR="00154260" w:rsidRPr="00905130" w:rsidRDefault="00154260" w:rsidP="000E623D">
      <w:pPr>
        <w:widowControl w:val="0"/>
        <w:spacing w:before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Агенција за лиценцирање стечајних управника</w:t>
      </w:r>
    </w:p>
    <w:p w:rsidR="00E43CC4" w:rsidRDefault="000E623D" w:rsidP="00E43CC4">
      <w:pPr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Повериоцима који имају обезбеђено потражи</w:t>
      </w:r>
      <w:r w:rsidR="00E43CC4">
        <w:rPr>
          <w:rFonts w:ascii="Arial" w:hAnsi="Arial" w:cs="Arial"/>
          <w:color w:val="000000"/>
          <w:sz w:val="22"/>
          <w:szCs w:val="22"/>
        </w:rPr>
        <w:t xml:space="preserve">вање на имовини која се продаје: 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Пољопривредна банка  </w:t>
      </w:r>
      <w:r w:rsidR="00A82288">
        <w:rPr>
          <w:rFonts w:ascii="Arial" w:hAnsi="Arial" w:cs="Arial"/>
          <w:color w:val="000000"/>
          <w:sz w:val="22"/>
          <w:szCs w:val="22"/>
        </w:rPr>
        <w:t xml:space="preserve">Нова </w:t>
      </w:r>
      <w:r>
        <w:rPr>
          <w:rFonts w:ascii="Arial" w:hAnsi="Arial" w:cs="Arial"/>
          <w:color w:val="000000"/>
          <w:sz w:val="22"/>
          <w:szCs w:val="22"/>
        </w:rPr>
        <w:t>А</w:t>
      </w:r>
      <w:r w:rsidR="00AD5C67">
        <w:rPr>
          <w:rFonts w:ascii="Arial" w:hAnsi="Arial" w:cs="Arial"/>
          <w:color w:val="000000"/>
          <w:sz w:val="22"/>
          <w:szCs w:val="22"/>
        </w:rPr>
        <w:t>гробанка</w:t>
      </w:r>
      <w:r>
        <w:rPr>
          <w:rFonts w:ascii="Arial" w:hAnsi="Arial" w:cs="Arial"/>
          <w:color w:val="000000"/>
          <w:sz w:val="22"/>
          <w:szCs w:val="22"/>
        </w:rPr>
        <w:t xml:space="preserve">  АД Београд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Комерцијална  банка АД Београд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„Кикиндски Млин „</w:t>
      </w:r>
      <w:r w:rsidR="005B5F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АД </w:t>
      </w:r>
      <w:r w:rsidR="005B5F8F">
        <w:rPr>
          <w:rFonts w:ascii="Arial" w:hAnsi="Arial" w:cs="Arial"/>
          <w:color w:val="000000"/>
          <w:sz w:val="22"/>
          <w:szCs w:val="22"/>
        </w:rPr>
        <w:t>Кикинда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НЛБ Банка АД Београд</w:t>
      </w:r>
    </w:p>
    <w:p w:rsidR="00E43CC4" w:rsidRDefault="00E43CC4" w:rsidP="00E43CC4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РС Министарство финансија Пореска управа </w:t>
      </w:r>
      <w:r w:rsidR="00AD5C67">
        <w:rPr>
          <w:rFonts w:ascii="Arial" w:hAnsi="Arial" w:cs="Arial"/>
          <w:color w:val="000000"/>
          <w:sz w:val="22"/>
          <w:szCs w:val="22"/>
        </w:rPr>
        <w:t xml:space="preserve">Нови Сад, </w:t>
      </w:r>
      <w:r>
        <w:rPr>
          <w:rFonts w:ascii="Arial" w:hAnsi="Arial" w:cs="Arial"/>
          <w:color w:val="000000"/>
          <w:sz w:val="22"/>
          <w:szCs w:val="22"/>
        </w:rPr>
        <w:t xml:space="preserve">Филијала Кикинда </w:t>
      </w:r>
    </w:p>
    <w:p w:rsidR="00E43CC4" w:rsidRDefault="00E43CC4" w:rsidP="000E623D">
      <w:pPr>
        <w:rPr>
          <w:rFonts w:ascii="Arial" w:hAnsi="Arial" w:cs="Arial"/>
          <w:color w:val="000000"/>
          <w:sz w:val="22"/>
          <w:szCs w:val="22"/>
        </w:rPr>
      </w:pPr>
    </w:p>
    <w:p w:rsidR="00AC68D7" w:rsidRDefault="000E623D" w:rsidP="000E623D">
      <w:pPr>
        <w:rPr>
          <w:rFonts w:ascii="Arial" w:hAnsi="Arial" w:cs="Arial"/>
          <w:color w:val="000000"/>
          <w:sz w:val="22"/>
          <w:szCs w:val="22"/>
        </w:rPr>
      </w:pPr>
      <w:r w:rsidRPr="00905130">
        <w:rPr>
          <w:rFonts w:ascii="Arial" w:hAnsi="Arial" w:cs="Arial"/>
          <w:color w:val="000000"/>
          <w:sz w:val="22"/>
          <w:szCs w:val="22"/>
        </w:rPr>
        <w:t>Лицима која су исказала интерес за имовину која се продаје</w:t>
      </w:r>
      <w:r w:rsidR="00AC68D7">
        <w:rPr>
          <w:rFonts w:ascii="Arial" w:hAnsi="Arial" w:cs="Arial"/>
          <w:color w:val="000000"/>
          <w:sz w:val="22"/>
          <w:szCs w:val="22"/>
        </w:rPr>
        <w:t>:</w:t>
      </w:r>
    </w:p>
    <w:p w:rsidR="000E623D" w:rsidRDefault="00AC68D7" w:rsidP="00110783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110783">
        <w:rPr>
          <w:rFonts w:ascii="Arial" w:hAnsi="Arial" w:cs="Arial"/>
          <w:color w:val="000000"/>
          <w:sz w:val="22"/>
          <w:szCs w:val="22"/>
        </w:rPr>
        <w:t xml:space="preserve">Доо „ М.А.Ч. Дон Дон „ Пударци, Гроцка </w:t>
      </w:r>
    </w:p>
    <w:p w:rsidR="00110783" w:rsidRPr="004E7067" w:rsidRDefault="00110783" w:rsidP="00110783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Доо“ </w:t>
      </w:r>
      <w:r w:rsidR="00C91A47">
        <w:rPr>
          <w:rFonts w:ascii="Arial" w:hAnsi="Arial" w:cs="Arial"/>
          <w:color w:val="000000"/>
          <w:sz w:val="22"/>
          <w:szCs w:val="22"/>
        </w:rPr>
        <w:t>Тривит</w:t>
      </w:r>
      <w:r>
        <w:rPr>
          <w:rFonts w:ascii="Arial" w:hAnsi="Arial" w:cs="Arial"/>
          <w:color w:val="000000"/>
          <w:sz w:val="22"/>
          <w:szCs w:val="22"/>
        </w:rPr>
        <w:t xml:space="preserve">“ </w:t>
      </w:r>
      <w:r w:rsidR="00C91A47">
        <w:rPr>
          <w:rFonts w:ascii="Arial" w:hAnsi="Arial" w:cs="Arial"/>
          <w:color w:val="000000"/>
          <w:sz w:val="22"/>
          <w:szCs w:val="22"/>
        </w:rPr>
        <w:t>Бечеј</w:t>
      </w:r>
      <w:r w:rsidR="004E7067">
        <w:rPr>
          <w:rFonts w:ascii="Arial" w:hAnsi="Arial" w:cs="Arial"/>
          <w:color w:val="000000"/>
          <w:sz w:val="22"/>
          <w:szCs w:val="22"/>
          <w:lang/>
        </w:rPr>
        <w:t>,</w:t>
      </w:r>
    </w:p>
    <w:p w:rsidR="004E7067" w:rsidRPr="00110783" w:rsidRDefault="004E7067" w:rsidP="004E7067">
      <w:pPr>
        <w:pStyle w:val="ListParagraph"/>
        <w:ind w:left="405"/>
        <w:rPr>
          <w:rFonts w:ascii="Arial" w:hAnsi="Arial" w:cs="Arial"/>
          <w:color w:val="000000"/>
          <w:sz w:val="22"/>
          <w:szCs w:val="22"/>
        </w:rPr>
      </w:pPr>
    </w:p>
    <w:p w:rsidR="000E623D" w:rsidRPr="00110783" w:rsidRDefault="00110783" w:rsidP="000E623D">
      <w:pPr>
        <w:rPr>
          <w:rFonts w:ascii="Arial" w:hAnsi="Arial" w:cs="Arial"/>
          <w:color w:val="000000"/>
          <w:sz w:val="22"/>
          <w:szCs w:val="22"/>
        </w:rPr>
      </w:pPr>
      <w:r w:rsidRPr="00110783">
        <w:rPr>
          <w:rFonts w:ascii="Arial" w:hAnsi="Arial" w:cs="Arial"/>
          <w:color w:val="000000"/>
          <w:sz w:val="22"/>
          <w:szCs w:val="22"/>
        </w:rPr>
        <w:t>И свим другим лицима која покажу интересовање за продају имовине.</w:t>
      </w:r>
    </w:p>
    <w:p w:rsidR="000E623D" w:rsidRPr="00905130" w:rsidRDefault="000E623D" w:rsidP="000E623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0E623D" w:rsidRPr="00905130" w:rsidRDefault="000E623D" w:rsidP="000E623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Предмет: Обавештење о намери, плану, начину и роковима продаје </w:t>
      </w:r>
      <w:r w:rsidR="001A67B0">
        <w:rPr>
          <w:rFonts w:ascii="Arial" w:hAnsi="Arial" w:cs="Arial"/>
          <w:b/>
          <w:color w:val="000000"/>
          <w:sz w:val="22"/>
          <w:szCs w:val="22"/>
          <w:u w:val="single"/>
        </w:rPr>
        <w:t>стечајног дужника као правног лица</w:t>
      </w:r>
      <w:r w:rsidR="00520B4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r w:rsidR="00096757">
        <w:rPr>
          <w:rFonts w:ascii="Arial" w:hAnsi="Arial" w:cs="Arial"/>
          <w:b/>
          <w:color w:val="000000"/>
          <w:sz w:val="22"/>
          <w:szCs w:val="22"/>
          <w:u w:val="single"/>
        </w:rPr>
        <w:t>четврта</w:t>
      </w:r>
      <w:r w:rsidR="005B5F8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20B4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продаја</w:t>
      </w:r>
    </w:p>
    <w:p w:rsidR="000E623D" w:rsidRPr="00905130" w:rsidRDefault="000E623D" w:rsidP="000E623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E623D" w:rsidRPr="00C91A47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5130">
        <w:rPr>
          <w:rFonts w:ascii="Arial" w:hAnsi="Arial" w:cs="Arial"/>
          <w:sz w:val="22"/>
          <w:szCs w:val="22"/>
        </w:rPr>
        <w:t xml:space="preserve">На основу Решења стечајног судије Ст. бр. </w:t>
      </w:r>
      <w:r w:rsidR="00AD5C67">
        <w:rPr>
          <w:rFonts w:ascii="Arial" w:hAnsi="Arial" w:cs="Arial"/>
          <w:sz w:val="22"/>
          <w:szCs w:val="22"/>
        </w:rPr>
        <w:t>6</w:t>
      </w:r>
      <w:r w:rsidR="00FC0D83">
        <w:rPr>
          <w:rFonts w:ascii="Arial" w:hAnsi="Arial" w:cs="Arial"/>
          <w:sz w:val="22"/>
          <w:szCs w:val="22"/>
        </w:rPr>
        <w:t>/2011</w:t>
      </w:r>
      <w:r w:rsidRPr="00905130">
        <w:rPr>
          <w:rFonts w:ascii="Arial" w:hAnsi="Arial" w:cs="Arial"/>
          <w:sz w:val="22"/>
          <w:szCs w:val="22"/>
          <w:lang w:val="en-US"/>
        </w:rPr>
        <w:t xml:space="preserve"> </w:t>
      </w:r>
      <w:r w:rsidRPr="00905130">
        <w:rPr>
          <w:rFonts w:ascii="Arial" w:hAnsi="Arial" w:cs="Arial"/>
          <w:sz w:val="22"/>
          <w:szCs w:val="22"/>
        </w:rPr>
        <w:t xml:space="preserve">од </w:t>
      </w:r>
      <w:r w:rsidR="00AD5C67">
        <w:rPr>
          <w:rFonts w:ascii="Arial" w:hAnsi="Arial" w:cs="Arial"/>
          <w:sz w:val="22"/>
          <w:szCs w:val="22"/>
        </w:rPr>
        <w:t>19.07</w:t>
      </w:r>
      <w:r w:rsidR="00FC0D83">
        <w:rPr>
          <w:rFonts w:ascii="Arial" w:hAnsi="Arial" w:cs="Arial"/>
          <w:sz w:val="22"/>
          <w:szCs w:val="22"/>
        </w:rPr>
        <w:t>.2011</w:t>
      </w:r>
      <w:r w:rsidRPr="00905130">
        <w:rPr>
          <w:rFonts w:ascii="Arial" w:hAnsi="Arial" w:cs="Arial"/>
          <w:sz w:val="22"/>
          <w:szCs w:val="22"/>
        </w:rPr>
        <w:t xml:space="preserve"> године стечајни управник има намеру да изврши продају </w:t>
      </w:r>
      <w:r w:rsidR="00691DAA">
        <w:rPr>
          <w:rFonts w:ascii="Arial" w:hAnsi="Arial" w:cs="Arial"/>
          <w:sz w:val="22"/>
          <w:szCs w:val="22"/>
        </w:rPr>
        <w:t xml:space="preserve">имовине </w:t>
      </w:r>
      <w:r w:rsidR="001A67B0">
        <w:rPr>
          <w:rFonts w:ascii="Arial" w:hAnsi="Arial" w:cs="Arial"/>
          <w:sz w:val="22"/>
          <w:szCs w:val="22"/>
        </w:rPr>
        <w:t>стечајног дужника АД „ ПЕКАРА КИКИКНДА“ у стечају</w:t>
      </w:r>
      <w:r w:rsidR="00C12841">
        <w:rPr>
          <w:rFonts w:ascii="Arial" w:hAnsi="Arial" w:cs="Arial"/>
          <w:sz w:val="22"/>
          <w:szCs w:val="22"/>
        </w:rPr>
        <w:t xml:space="preserve"> – </w:t>
      </w:r>
      <w:r w:rsidR="00691DAA" w:rsidRPr="00F16355">
        <w:rPr>
          <w:rFonts w:ascii="Arial" w:hAnsi="Arial" w:cs="Arial"/>
          <w:b/>
          <w:sz w:val="22"/>
          <w:szCs w:val="22"/>
        </w:rPr>
        <w:t>по функционалним целинама</w:t>
      </w:r>
      <w:r w:rsidR="00F16355">
        <w:rPr>
          <w:rFonts w:ascii="Arial" w:hAnsi="Arial" w:cs="Arial"/>
          <w:sz w:val="22"/>
          <w:szCs w:val="22"/>
        </w:rPr>
        <w:t xml:space="preserve"> </w:t>
      </w:r>
      <w:r w:rsidR="00F16355" w:rsidRPr="00F16355">
        <w:rPr>
          <w:rFonts w:ascii="Arial" w:hAnsi="Arial" w:cs="Arial"/>
          <w:b/>
          <w:sz w:val="22"/>
          <w:szCs w:val="22"/>
        </w:rPr>
        <w:t>методом непосредне погодбе уз јавно објављивање огласа за прикупљање понуда</w:t>
      </w:r>
      <w:r w:rsidR="00C12841">
        <w:rPr>
          <w:rFonts w:ascii="Arial" w:hAnsi="Arial" w:cs="Arial"/>
          <w:sz w:val="22"/>
          <w:szCs w:val="22"/>
        </w:rPr>
        <w:t xml:space="preserve">, </w:t>
      </w:r>
      <w:r w:rsidRPr="00905130">
        <w:rPr>
          <w:rFonts w:ascii="Arial" w:hAnsi="Arial" w:cs="Arial"/>
          <w:sz w:val="22"/>
          <w:szCs w:val="22"/>
        </w:rPr>
        <w:t>што је његово овлашћење предвиђено одредбама члана 132. став 1.</w:t>
      </w:r>
      <w:r w:rsidRPr="00905130">
        <w:rPr>
          <w:rFonts w:ascii="Arial" w:hAnsi="Arial" w:cs="Arial"/>
          <w:sz w:val="22"/>
          <w:szCs w:val="22"/>
          <w:lang w:val="sr-Latn-CS"/>
        </w:rPr>
        <w:t xml:space="preserve"> Закона о </w:t>
      </w:r>
      <w:r w:rsidRPr="00905130">
        <w:rPr>
          <w:rFonts w:ascii="Arial" w:hAnsi="Arial" w:cs="Arial"/>
          <w:sz w:val="22"/>
          <w:szCs w:val="22"/>
        </w:rPr>
        <w:t>стечају</w:t>
      </w:r>
      <w:r w:rsidR="00C12841">
        <w:rPr>
          <w:rFonts w:ascii="Arial" w:hAnsi="Arial" w:cs="Arial"/>
          <w:sz w:val="22"/>
          <w:szCs w:val="22"/>
        </w:rPr>
        <w:t xml:space="preserve">. </w:t>
      </w:r>
      <w:r w:rsidRPr="00905130">
        <w:rPr>
          <w:rFonts w:ascii="Arial" w:hAnsi="Arial" w:cs="Arial"/>
          <w:sz w:val="22"/>
          <w:szCs w:val="22"/>
        </w:rPr>
        <w:t xml:space="preserve"> </w:t>
      </w:r>
      <w:r w:rsidR="00C12841">
        <w:rPr>
          <w:rFonts w:ascii="Arial" w:hAnsi="Arial" w:cs="Arial"/>
          <w:sz w:val="22"/>
          <w:szCs w:val="22"/>
        </w:rPr>
        <w:t xml:space="preserve">У складу са чланом 132 став 2 Закона о стечају, стечајни управник је извршио процену целисходности начина продаје стечајног дужника, а на основу извршене процене вредности имовине по ликвидационом методу и процене вредности као правно лице, извршене од стране „СМ Инжењеринг„ Доо Зрењанин. </w:t>
      </w:r>
      <w:r w:rsidR="00691DAA">
        <w:rPr>
          <w:rFonts w:ascii="Arial" w:hAnsi="Arial" w:cs="Arial"/>
          <w:sz w:val="22"/>
          <w:szCs w:val="22"/>
        </w:rPr>
        <w:t>Након три неуспешне продаје имовине стечаног дужника као правно лице, с</w:t>
      </w:r>
      <w:r w:rsidR="00C12841">
        <w:rPr>
          <w:rFonts w:ascii="Arial" w:hAnsi="Arial" w:cs="Arial"/>
          <w:sz w:val="22"/>
          <w:szCs w:val="22"/>
        </w:rPr>
        <w:t xml:space="preserve">течајни управник је дана </w:t>
      </w:r>
      <w:r w:rsidR="00F16355">
        <w:rPr>
          <w:rFonts w:ascii="Arial" w:hAnsi="Arial" w:cs="Arial"/>
          <w:sz w:val="22"/>
          <w:szCs w:val="22"/>
        </w:rPr>
        <w:t>10</w:t>
      </w:r>
      <w:r w:rsidR="00C12841">
        <w:rPr>
          <w:rFonts w:ascii="Arial" w:hAnsi="Arial" w:cs="Arial"/>
          <w:sz w:val="22"/>
          <w:szCs w:val="22"/>
        </w:rPr>
        <w:t>.</w:t>
      </w:r>
      <w:r w:rsidR="00691DAA">
        <w:rPr>
          <w:rFonts w:ascii="Arial" w:hAnsi="Arial" w:cs="Arial"/>
          <w:sz w:val="22"/>
          <w:szCs w:val="22"/>
        </w:rPr>
        <w:t>11</w:t>
      </w:r>
      <w:r w:rsidR="00C12841">
        <w:rPr>
          <w:rFonts w:ascii="Arial" w:hAnsi="Arial" w:cs="Arial"/>
          <w:sz w:val="22"/>
          <w:szCs w:val="22"/>
        </w:rPr>
        <w:t>.2012. предложила Одбору поверилаца намерав</w:t>
      </w:r>
      <w:r w:rsidR="001A67B0">
        <w:rPr>
          <w:rFonts w:ascii="Arial" w:hAnsi="Arial" w:cs="Arial"/>
          <w:sz w:val="22"/>
          <w:szCs w:val="22"/>
        </w:rPr>
        <w:t>ани на</w:t>
      </w:r>
      <w:r w:rsidR="00F16355">
        <w:rPr>
          <w:rFonts w:ascii="Arial" w:hAnsi="Arial" w:cs="Arial"/>
          <w:sz w:val="22"/>
          <w:szCs w:val="22"/>
        </w:rPr>
        <w:t xml:space="preserve">чин продаје </w:t>
      </w:r>
      <w:r w:rsidR="00C12841">
        <w:rPr>
          <w:rFonts w:ascii="Arial" w:hAnsi="Arial" w:cs="Arial"/>
          <w:sz w:val="22"/>
          <w:szCs w:val="22"/>
        </w:rPr>
        <w:t xml:space="preserve">и затражила став – одлуку о предложеном. </w:t>
      </w:r>
      <w:r w:rsidR="00854CBD">
        <w:rPr>
          <w:rFonts w:ascii="Arial" w:hAnsi="Arial" w:cs="Arial"/>
          <w:sz w:val="22"/>
          <w:szCs w:val="22"/>
        </w:rPr>
        <w:t xml:space="preserve">Одбор поверилаца је дана </w:t>
      </w:r>
      <w:r w:rsidR="00F16355">
        <w:rPr>
          <w:rFonts w:ascii="Arial" w:hAnsi="Arial" w:cs="Arial"/>
          <w:sz w:val="22"/>
          <w:szCs w:val="22"/>
        </w:rPr>
        <w:t>20</w:t>
      </w:r>
      <w:r w:rsidR="00C12841">
        <w:rPr>
          <w:rFonts w:ascii="Arial" w:hAnsi="Arial" w:cs="Arial"/>
          <w:sz w:val="22"/>
          <w:szCs w:val="22"/>
        </w:rPr>
        <w:t>.</w:t>
      </w:r>
      <w:r w:rsidR="00F16355">
        <w:rPr>
          <w:rFonts w:ascii="Arial" w:hAnsi="Arial" w:cs="Arial"/>
          <w:sz w:val="22"/>
          <w:szCs w:val="22"/>
        </w:rPr>
        <w:t>11</w:t>
      </w:r>
      <w:r w:rsidR="00C12841">
        <w:rPr>
          <w:rFonts w:ascii="Arial" w:hAnsi="Arial" w:cs="Arial"/>
          <w:sz w:val="22"/>
          <w:szCs w:val="22"/>
        </w:rPr>
        <w:t>.2012.  донео одлуку</w:t>
      </w:r>
      <w:r w:rsidR="005B5F8F">
        <w:rPr>
          <w:rFonts w:ascii="Arial" w:hAnsi="Arial" w:cs="Arial"/>
          <w:sz w:val="22"/>
          <w:szCs w:val="22"/>
        </w:rPr>
        <w:t>,</w:t>
      </w:r>
      <w:r w:rsidR="00C12841">
        <w:rPr>
          <w:rFonts w:ascii="Arial" w:hAnsi="Arial" w:cs="Arial"/>
          <w:sz w:val="22"/>
          <w:szCs w:val="22"/>
        </w:rPr>
        <w:t xml:space="preserve"> </w:t>
      </w:r>
      <w:r w:rsidR="001A67B0">
        <w:rPr>
          <w:rFonts w:ascii="Arial" w:hAnsi="Arial" w:cs="Arial"/>
          <w:sz w:val="22"/>
          <w:szCs w:val="22"/>
        </w:rPr>
        <w:t xml:space="preserve">да је сагласан са предложеним </w:t>
      </w:r>
      <w:r w:rsidR="00C12841">
        <w:rPr>
          <w:rFonts w:ascii="Arial" w:hAnsi="Arial" w:cs="Arial"/>
          <w:sz w:val="22"/>
          <w:szCs w:val="22"/>
        </w:rPr>
        <w:t>начин</w:t>
      </w:r>
      <w:r w:rsidR="001A67B0">
        <w:rPr>
          <w:rFonts w:ascii="Arial" w:hAnsi="Arial" w:cs="Arial"/>
          <w:sz w:val="22"/>
          <w:szCs w:val="22"/>
        </w:rPr>
        <w:t>ом</w:t>
      </w:r>
      <w:r w:rsidR="00F16355">
        <w:rPr>
          <w:rFonts w:ascii="Arial" w:hAnsi="Arial" w:cs="Arial"/>
          <w:sz w:val="22"/>
          <w:szCs w:val="22"/>
        </w:rPr>
        <w:t xml:space="preserve"> продаје – непосредном погодбом, по функционалним целинама,  уз јавно прикупљање понуда</w:t>
      </w:r>
      <w:r w:rsidR="00C12841">
        <w:rPr>
          <w:rFonts w:ascii="Arial" w:hAnsi="Arial" w:cs="Arial"/>
          <w:sz w:val="22"/>
          <w:szCs w:val="22"/>
        </w:rPr>
        <w:t xml:space="preserve">. </w:t>
      </w:r>
      <w:r w:rsidR="00C91A47">
        <w:rPr>
          <w:rFonts w:ascii="Arial" w:hAnsi="Arial" w:cs="Arial"/>
          <w:sz w:val="22"/>
          <w:szCs w:val="22"/>
        </w:rPr>
        <w:t>Након прве продаје непосредном погодбом, а четврте продаје уопште, продат је мањи део имовине, те се стечајни управник одлучио, да уз сагласност Одбора поверилаца, наставии са продајом путем непосредне погодбе.</w:t>
      </w:r>
    </w:p>
    <w:p w:rsidR="000E623D" w:rsidRPr="00905130" w:rsidRDefault="000E623D" w:rsidP="000E623D">
      <w:pPr>
        <w:spacing w:before="120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905130">
        <w:rPr>
          <w:rFonts w:ascii="Arial" w:hAnsi="Arial" w:cs="Arial"/>
          <w:sz w:val="22"/>
          <w:szCs w:val="22"/>
        </w:rPr>
        <w:t xml:space="preserve">Како је стечајни управник дужан да наслову достави Обавештење о намери, плану, начину и роковима продаје, као и Обавештење о процени целисходности предложене продаје то Вам стечајни управник доставља ово Обавештење испуњавајући своју обавезу, водећи рачуна о роковима предвиђеним чланом 133. став 1. и став 2. </w:t>
      </w:r>
      <w:r w:rsidRPr="00905130">
        <w:rPr>
          <w:rFonts w:ascii="Arial" w:hAnsi="Arial" w:cs="Arial"/>
          <w:sz w:val="22"/>
          <w:szCs w:val="22"/>
          <w:lang w:val="sr-Latn-CS"/>
        </w:rPr>
        <w:t xml:space="preserve">Закона о </w:t>
      </w:r>
      <w:r w:rsidRPr="00905130">
        <w:rPr>
          <w:rFonts w:ascii="Arial" w:hAnsi="Arial" w:cs="Arial"/>
          <w:sz w:val="22"/>
          <w:szCs w:val="22"/>
        </w:rPr>
        <w:t>стечају</w:t>
      </w:r>
      <w:r w:rsidR="004A3FA3">
        <w:rPr>
          <w:rFonts w:ascii="Arial" w:hAnsi="Arial" w:cs="Arial"/>
          <w:sz w:val="22"/>
          <w:szCs w:val="22"/>
        </w:rPr>
        <w:t>.</w:t>
      </w:r>
      <w:r w:rsidRPr="00905130">
        <w:rPr>
          <w:rFonts w:ascii="Arial" w:hAnsi="Arial" w:cs="Arial"/>
          <w:sz w:val="22"/>
          <w:szCs w:val="22"/>
        </w:rPr>
        <w:t xml:space="preserve"> </w:t>
      </w:r>
    </w:p>
    <w:p w:rsidR="00854CBD" w:rsidRPr="00E661D8" w:rsidRDefault="00854CBD" w:rsidP="00854CB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661D8">
        <w:rPr>
          <w:rFonts w:ascii="Arial" w:hAnsi="Arial" w:cs="Arial"/>
          <w:b/>
          <w:bCs/>
          <w:sz w:val="22"/>
          <w:szCs w:val="22"/>
          <w:lang w:val="sr-Latn-CS"/>
        </w:rPr>
        <w:t xml:space="preserve">План продаје је следећи: </w:t>
      </w:r>
    </w:p>
    <w:p w:rsidR="00854CBD" w:rsidRDefault="00854CBD" w:rsidP="00854CB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  <w:lang w:val="sr-Latn-CS"/>
        </w:rPr>
        <w:t xml:space="preserve">Стечајну масу стечајног дужника која је предмет продаје </w:t>
      </w:r>
      <w:r w:rsidRPr="00E661D8">
        <w:rPr>
          <w:rFonts w:ascii="Arial" w:hAnsi="Arial" w:cs="Arial"/>
          <w:sz w:val="22"/>
          <w:szCs w:val="22"/>
        </w:rPr>
        <w:t xml:space="preserve">чини, 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661D8">
        <w:rPr>
          <w:rFonts w:ascii="Arial" w:hAnsi="Arial" w:cs="Arial"/>
          <w:sz w:val="22"/>
          <w:szCs w:val="22"/>
        </w:rPr>
        <w:t xml:space="preserve">покретна и  непокретна 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имовина </w:t>
      </w:r>
      <w:r w:rsidRPr="00E661D8">
        <w:rPr>
          <w:rFonts w:ascii="Arial" w:hAnsi="Arial" w:cs="Arial"/>
          <w:sz w:val="22"/>
          <w:szCs w:val="22"/>
        </w:rPr>
        <w:t>која је лоцирана у три целин</w:t>
      </w:r>
      <w:r w:rsidR="004A3FA3">
        <w:rPr>
          <w:rFonts w:ascii="Arial" w:hAnsi="Arial" w:cs="Arial"/>
          <w:sz w:val="22"/>
          <w:szCs w:val="22"/>
        </w:rPr>
        <w:t>е и то у улици Светосавска бр. 5</w:t>
      </w:r>
      <w:r w:rsidR="006325F6">
        <w:rPr>
          <w:rFonts w:ascii="Arial" w:hAnsi="Arial" w:cs="Arial"/>
          <w:sz w:val="22"/>
          <w:szCs w:val="22"/>
        </w:rPr>
        <w:t>9</w:t>
      </w:r>
      <w:r w:rsidR="005B5F8F">
        <w:rPr>
          <w:rFonts w:ascii="Arial" w:hAnsi="Arial" w:cs="Arial"/>
          <w:sz w:val="22"/>
          <w:szCs w:val="22"/>
        </w:rPr>
        <w:t xml:space="preserve"> и 61 </w:t>
      </w:r>
      <w:r w:rsidRPr="00E661D8">
        <w:rPr>
          <w:rFonts w:ascii="Arial" w:hAnsi="Arial" w:cs="Arial"/>
          <w:sz w:val="22"/>
          <w:szCs w:val="22"/>
        </w:rPr>
        <w:t xml:space="preserve">и Браће Татић бр. 92. </w:t>
      </w:r>
    </w:p>
    <w:p w:rsidR="006333F1" w:rsidRPr="00E661D8" w:rsidRDefault="006333F1" w:rsidP="00854CB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16355" w:rsidRPr="006333F1" w:rsidRDefault="00F16355" w:rsidP="00F16355">
      <w:pPr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Предмет продаје је: Целина 1. – </w:t>
      </w:r>
      <w:r w:rsidRPr="006333F1">
        <w:rPr>
          <w:rFonts w:ascii="Arial" w:hAnsi="Arial" w:cs="Arial"/>
          <w:sz w:val="22"/>
          <w:szCs w:val="22"/>
        </w:rPr>
        <w:t>која представља функционалну целину Пекаре, која је састоји од више грађевинских објеката на парцели 8449 с</w:t>
      </w:r>
      <w:r w:rsidR="0090545C">
        <w:rPr>
          <w:rFonts w:ascii="Arial" w:hAnsi="Arial" w:cs="Arial"/>
          <w:sz w:val="22"/>
          <w:szCs w:val="22"/>
        </w:rPr>
        <w:t>а земљиштем и са парцелом 8450,</w:t>
      </w:r>
      <w:r w:rsidR="00C91A47">
        <w:rPr>
          <w:rFonts w:ascii="Arial" w:hAnsi="Arial" w:cs="Arial"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опреме</w:t>
      </w:r>
      <w:r w:rsidR="0090545C">
        <w:rPr>
          <w:rFonts w:ascii="Arial" w:hAnsi="Arial" w:cs="Arial"/>
          <w:sz w:val="22"/>
          <w:szCs w:val="22"/>
        </w:rPr>
        <w:t xml:space="preserve"> за пекарску индустрију и ситним инвентаром </w:t>
      </w:r>
      <w:r w:rsidRPr="006333F1">
        <w:rPr>
          <w:rFonts w:ascii="Arial" w:hAnsi="Arial" w:cs="Arial"/>
          <w:sz w:val="22"/>
          <w:szCs w:val="22"/>
        </w:rPr>
        <w:t xml:space="preserve">по пописној листи од </w:t>
      </w:r>
      <w:r w:rsidR="00C91A47">
        <w:rPr>
          <w:rFonts w:ascii="Arial" w:hAnsi="Arial" w:cs="Arial"/>
          <w:sz w:val="22"/>
          <w:szCs w:val="22"/>
        </w:rPr>
        <w:t>25.01.2013.</w:t>
      </w:r>
    </w:p>
    <w:p w:rsidR="006333F1" w:rsidRDefault="006333F1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</w:p>
    <w:p w:rsidR="00F16355" w:rsidRPr="006333F1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sz w:val="22"/>
          <w:szCs w:val="22"/>
        </w:rPr>
        <w:lastRenderedPageBreak/>
        <w:t>Процењена вредност имовине је</w:t>
      </w:r>
      <w:r w:rsidRPr="006333F1">
        <w:rPr>
          <w:rFonts w:ascii="Arial" w:hAnsi="Arial" w:cs="Arial"/>
          <w:b/>
          <w:sz w:val="22"/>
          <w:szCs w:val="22"/>
        </w:rPr>
        <w:t xml:space="preserve">: </w:t>
      </w:r>
      <w:r w:rsidR="0090545C">
        <w:rPr>
          <w:rFonts w:ascii="Arial" w:hAnsi="Arial" w:cs="Arial"/>
          <w:b/>
          <w:sz w:val="22"/>
          <w:szCs w:val="22"/>
        </w:rPr>
        <w:t>143.757.840,79</w:t>
      </w:r>
      <w:r w:rsidRPr="006333F1">
        <w:rPr>
          <w:rFonts w:ascii="Arial" w:hAnsi="Arial" w:cs="Arial"/>
          <w:b/>
          <w:sz w:val="22"/>
          <w:szCs w:val="22"/>
        </w:rPr>
        <w:t xml:space="preserve">  </w:t>
      </w:r>
      <w:r w:rsidRPr="006333F1">
        <w:rPr>
          <w:rFonts w:ascii="Arial" w:hAnsi="Arial" w:cs="Arial"/>
          <w:sz w:val="22"/>
          <w:szCs w:val="22"/>
        </w:rPr>
        <w:t xml:space="preserve">динара. </w:t>
      </w:r>
    </w:p>
    <w:p w:rsidR="004E7067" w:rsidRDefault="004E7067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b/>
          <w:sz w:val="22"/>
          <w:szCs w:val="22"/>
          <w:lang/>
        </w:rPr>
      </w:pPr>
    </w:p>
    <w:p w:rsidR="00F16355" w:rsidRPr="006333F1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>Депозит</w:t>
      </w:r>
      <w:r w:rsidRPr="006333F1">
        <w:rPr>
          <w:rFonts w:ascii="Arial" w:hAnsi="Arial" w:cs="Arial"/>
          <w:sz w:val="22"/>
          <w:szCs w:val="22"/>
        </w:rPr>
        <w:t xml:space="preserve"> за Целину 1.  износи</w:t>
      </w:r>
      <w:r w:rsidRPr="006333F1">
        <w:rPr>
          <w:rFonts w:ascii="Arial" w:hAnsi="Arial" w:cs="Arial"/>
          <w:b/>
          <w:sz w:val="22"/>
          <w:szCs w:val="22"/>
        </w:rPr>
        <w:t xml:space="preserve">: </w:t>
      </w:r>
      <w:r w:rsidR="00AD4180">
        <w:rPr>
          <w:rFonts w:ascii="Arial" w:hAnsi="Arial" w:cs="Arial"/>
          <w:b/>
          <w:sz w:val="22"/>
          <w:szCs w:val="22"/>
        </w:rPr>
        <w:t>28.800.000,00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16355" w:rsidRPr="0090545C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outlineLvl w:val="0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Предмет продаје је: Целина 2. </w:t>
      </w:r>
      <w:r w:rsidRPr="006333F1">
        <w:rPr>
          <w:rFonts w:ascii="Arial" w:hAnsi="Arial" w:cs="Arial"/>
          <w:sz w:val="22"/>
          <w:szCs w:val="22"/>
        </w:rPr>
        <w:t>– Радионица – Перионица</w:t>
      </w:r>
      <w:r w:rsidR="0090545C">
        <w:rPr>
          <w:rFonts w:ascii="Arial" w:hAnsi="Arial" w:cs="Arial"/>
          <w:sz w:val="22"/>
          <w:szCs w:val="22"/>
        </w:rPr>
        <w:t xml:space="preserve"> - Облатнара</w:t>
      </w:r>
      <w:r w:rsidRPr="006333F1">
        <w:rPr>
          <w:rFonts w:ascii="Arial" w:hAnsi="Arial" w:cs="Arial"/>
          <w:sz w:val="22"/>
          <w:szCs w:val="22"/>
        </w:rPr>
        <w:t>, која се састоји од грађевинских објекат</w:t>
      </w:r>
      <w:r w:rsidR="0090545C">
        <w:rPr>
          <w:rFonts w:ascii="Arial" w:hAnsi="Arial" w:cs="Arial"/>
          <w:sz w:val="22"/>
          <w:szCs w:val="22"/>
        </w:rPr>
        <w:t>а, са земљиштем на парцели 8452, пипадајуће опреме и резервних делова.</w:t>
      </w:r>
    </w:p>
    <w:p w:rsidR="006333F1" w:rsidRDefault="006333F1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rPr>
          <w:rFonts w:ascii="Arial" w:hAnsi="Arial" w:cs="Arial"/>
          <w:sz w:val="22"/>
          <w:szCs w:val="22"/>
        </w:rPr>
      </w:pPr>
    </w:p>
    <w:p w:rsidR="00F16355" w:rsidRPr="006333F1" w:rsidRDefault="00F16355" w:rsidP="00F16355">
      <w:pPr>
        <w:widowControl w:val="0"/>
        <w:autoSpaceDE w:val="0"/>
        <w:autoSpaceDN w:val="0"/>
        <w:adjustRightInd w:val="0"/>
        <w:spacing w:line="229" w:lineRule="exact"/>
        <w:ind w:right="-31"/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sz w:val="22"/>
          <w:szCs w:val="22"/>
        </w:rPr>
        <w:t>Процењена вредност је</w:t>
      </w:r>
      <w:r w:rsidRPr="006333F1">
        <w:rPr>
          <w:rFonts w:ascii="Arial" w:hAnsi="Arial" w:cs="Arial"/>
          <w:b/>
          <w:sz w:val="22"/>
          <w:szCs w:val="22"/>
        </w:rPr>
        <w:t>: 1</w:t>
      </w:r>
      <w:r w:rsidR="0090545C">
        <w:rPr>
          <w:rFonts w:ascii="Arial" w:hAnsi="Arial" w:cs="Arial"/>
          <w:b/>
          <w:sz w:val="22"/>
          <w:szCs w:val="22"/>
        </w:rPr>
        <w:t>5.124.952,16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jc w:val="both"/>
        <w:rPr>
          <w:rFonts w:ascii="Arial" w:hAnsi="Arial" w:cs="Arial"/>
          <w:b/>
          <w:sz w:val="22"/>
          <w:szCs w:val="22"/>
        </w:rPr>
      </w:pPr>
    </w:p>
    <w:p w:rsidR="00F16355" w:rsidRPr="006333F1" w:rsidRDefault="00F16355" w:rsidP="00F16355">
      <w:pPr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Депозит </w:t>
      </w:r>
      <w:r w:rsidRPr="006333F1">
        <w:rPr>
          <w:rFonts w:ascii="Arial" w:hAnsi="Arial" w:cs="Arial"/>
          <w:sz w:val="22"/>
          <w:szCs w:val="22"/>
        </w:rPr>
        <w:t>за Целину 2</w:t>
      </w:r>
      <w:r w:rsidRPr="006333F1">
        <w:rPr>
          <w:rFonts w:ascii="Arial" w:hAnsi="Arial" w:cs="Arial"/>
          <w:b/>
          <w:sz w:val="22"/>
          <w:szCs w:val="22"/>
        </w:rPr>
        <w:t xml:space="preserve">. </w:t>
      </w:r>
      <w:r w:rsidRPr="006333F1">
        <w:rPr>
          <w:rFonts w:ascii="Arial" w:hAnsi="Arial" w:cs="Arial"/>
          <w:sz w:val="22"/>
          <w:szCs w:val="22"/>
        </w:rPr>
        <w:t>износи: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6333F1">
        <w:rPr>
          <w:rFonts w:ascii="Arial" w:hAnsi="Arial" w:cs="Arial"/>
          <w:b/>
          <w:sz w:val="22"/>
          <w:szCs w:val="22"/>
        </w:rPr>
        <w:t xml:space="preserve">.000.000,00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jc w:val="both"/>
        <w:rPr>
          <w:rFonts w:ascii="Arial" w:hAnsi="Arial" w:cs="Arial"/>
          <w:b/>
          <w:sz w:val="22"/>
          <w:szCs w:val="22"/>
        </w:rPr>
      </w:pPr>
    </w:p>
    <w:p w:rsidR="00F16355" w:rsidRPr="006333F1" w:rsidRDefault="00F16355" w:rsidP="00F16355">
      <w:pPr>
        <w:jc w:val="both"/>
        <w:rPr>
          <w:rFonts w:ascii="Arial" w:hAnsi="Arial" w:cs="Arial"/>
          <w:sz w:val="22"/>
          <w:szCs w:val="22"/>
        </w:rPr>
      </w:pPr>
      <w:r w:rsidRPr="006333F1">
        <w:rPr>
          <w:rFonts w:ascii="Arial" w:hAnsi="Arial" w:cs="Arial"/>
          <w:b/>
          <w:sz w:val="22"/>
          <w:szCs w:val="22"/>
        </w:rPr>
        <w:t xml:space="preserve">Предмет продаје је пекарска и друга опрема, са нерегистрованим возилима, </w:t>
      </w:r>
      <w:r w:rsidRPr="006333F1">
        <w:rPr>
          <w:rFonts w:ascii="Arial" w:hAnsi="Arial" w:cs="Arial"/>
          <w:sz w:val="22"/>
          <w:szCs w:val="22"/>
        </w:rPr>
        <w:t>која се продаје појединачно, а по пописној листи и укупној процењеној вредности појединачне опреме од:</w:t>
      </w:r>
      <w:r w:rsidRPr="006333F1">
        <w:rPr>
          <w:rFonts w:ascii="Arial" w:hAnsi="Arial" w:cs="Arial"/>
          <w:b/>
          <w:sz w:val="22"/>
          <w:szCs w:val="22"/>
        </w:rPr>
        <w:t xml:space="preserve">  </w:t>
      </w:r>
      <w:r w:rsidR="0090545C">
        <w:rPr>
          <w:rFonts w:ascii="Arial" w:hAnsi="Arial" w:cs="Arial"/>
          <w:b/>
          <w:sz w:val="22"/>
          <w:szCs w:val="22"/>
        </w:rPr>
        <w:t>19.417.559,04</w:t>
      </w:r>
      <w:r w:rsidRPr="006333F1">
        <w:rPr>
          <w:rFonts w:ascii="Arial" w:hAnsi="Arial" w:cs="Arial"/>
          <w:b/>
          <w:sz w:val="22"/>
          <w:szCs w:val="22"/>
        </w:rPr>
        <w:t xml:space="preserve"> </w:t>
      </w:r>
      <w:r w:rsidRPr="006333F1">
        <w:rPr>
          <w:rFonts w:ascii="Arial" w:hAnsi="Arial" w:cs="Arial"/>
          <w:sz w:val="22"/>
          <w:szCs w:val="22"/>
        </w:rPr>
        <w:t>динара.</w:t>
      </w:r>
    </w:p>
    <w:p w:rsidR="006333F1" w:rsidRDefault="006333F1" w:rsidP="00F16355">
      <w:pPr>
        <w:jc w:val="both"/>
        <w:rPr>
          <w:rFonts w:ascii="Arial" w:hAnsi="Arial" w:cs="Arial"/>
          <w:b/>
          <w:sz w:val="22"/>
          <w:szCs w:val="22"/>
        </w:rPr>
      </w:pPr>
    </w:p>
    <w:p w:rsidR="00D73D40" w:rsidRPr="00E661D8" w:rsidRDefault="00D73D40" w:rsidP="00D73D40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b/>
          <w:sz w:val="22"/>
          <w:szCs w:val="22"/>
          <w:lang w:val="sr-Latn-CS"/>
        </w:rPr>
        <w:t>Начин продаје</w:t>
      </w:r>
      <w:r w:rsidRPr="00E661D8">
        <w:rPr>
          <w:rFonts w:ascii="Arial" w:hAnsi="Arial" w:cs="Arial"/>
          <w:b/>
          <w:sz w:val="22"/>
          <w:szCs w:val="22"/>
        </w:rPr>
        <w:t>:</w:t>
      </w:r>
      <w:r w:rsidRPr="00E661D8">
        <w:rPr>
          <w:rFonts w:ascii="Arial" w:hAnsi="Arial" w:cs="Arial"/>
          <w:sz w:val="22"/>
          <w:szCs w:val="22"/>
        </w:rPr>
        <w:t xml:space="preserve"> </w:t>
      </w:r>
    </w:p>
    <w:p w:rsidR="00D73D40" w:rsidRPr="00E661D8" w:rsidRDefault="00D73D40" w:rsidP="00D73D40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</w:rPr>
        <w:t>П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родаја ће се извршити </w:t>
      </w:r>
      <w:r w:rsidR="00B75F93">
        <w:rPr>
          <w:rFonts w:ascii="Arial" w:hAnsi="Arial" w:cs="Arial"/>
          <w:sz w:val="22"/>
          <w:szCs w:val="22"/>
        </w:rPr>
        <w:t>непосредном погодбом уз јавно прикупљање понуда</w:t>
      </w:r>
      <w:r w:rsidRPr="00E661D8">
        <w:rPr>
          <w:rFonts w:ascii="Arial" w:hAnsi="Arial" w:cs="Arial"/>
          <w:sz w:val="22"/>
          <w:szCs w:val="22"/>
        </w:rPr>
        <w:t>.</w:t>
      </w:r>
    </w:p>
    <w:p w:rsidR="00FB47D7" w:rsidRDefault="00FB47D7" w:rsidP="00FB47D7">
      <w:pPr>
        <w:jc w:val="both"/>
        <w:rPr>
          <w:rFonts w:ascii="Arial" w:hAnsi="Arial" w:cs="Arial"/>
          <w:sz w:val="22"/>
          <w:szCs w:val="22"/>
        </w:rPr>
      </w:pPr>
      <w:r w:rsidRPr="00E661D8">
        <w:rPr>
          <w:rFonts w:ascii="Arial" w:hAnsi="Arial" w:cs="Arial"/>
          <w:sz w:val="22"/>
          <w:szCs w:val="22"/>
        </w:rPr>
        <w:t>Право учешћа имају сва</w:t>
      </w:r>
      <w:r w:rsidRPr="00E661D8">
        <w:rPr>
          <w:rFonts w:ascii="Arial" w:hAnsi="Arial" w:cs="Arial"/>
          <w:sz w:val="22"/>
          <w:szCs w:val="22"/>
          <w:lang w:val="sr-Latn-CS"/>
        </w:rPr>
        <w:t xml:space="preserve"> правна и физичка лица која</w:t>
      </w:r>
      <w:r w:rsidRPr="00E661D8">
        <w:rPr>
          <w:rFonts w:ascii="Arial" w:hAnsi="Arial" w:cs="Arial"/>
          <w:sz w:val="22"/>
          <w:szCs w:val="22"/>
        </w:rPr>
        <w:t>:</w:t>
      </w:r>
    </w:p>
    <w:p w:rsid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Након добијања профактуре, изврше уплату ради откупа продајне документације у износу од 10.000,00 динара, за Целину 1 и Целину 2, и 1.000,00 динара за </w:t>
      </w:r>
      <w:r w:rsidR="0090545C">
        <w:rPr>
          <w:rFonts w:ascii="Arial" w:hAnsi="Arial" w:cs="Arial"/>
          <w:sz w:val="22"/>
          <w:szCs w:val="22"/>
        </w:rPr>
        <w:t>осталу опрему, која се продаје појединачно</w:t>
      </w:r>
      <w:r w:rsidRPr="00B75F93">
        <w:rPr>
          <w:rFonts w:ascii="Arial" w:hAnsi="Arial" w:cs="Arial"/>
          <w:sz w:val="22"/>
          <w:szCs w:val="22"/>
        </w:rPr>
        <w:t xml:space="preserve"> (профактура се може преузети сваког радног дана </w:t>
      </w:r>
      <w:r w:rsidR="0090545C">
        <w:rPr>
          <w:rFonts w:ascii="Arial" w:hAnsi="Arial" w:cs="Arial"/>
          <w:sz w:val="22"/>
          <w:szCs w:val="22"/>
        </w:rPr>
        <w:t>закључно са 08</w:t>
      </w:r>
      <w:r w:rsidRPr="00B75F93">
        <w:rPr>
          <w:rFonts w:ascii="Arial" w:hAnsi="Arial" w:cs="Arial"/>
          <w:sz w:val="22"/>
          <w:szCs w:val="22"/>
        </w:rPr>
        <w:t>.</w:t>
      </w:r>
      <w:r w:rsidR="0090545C">
        <w:rPr>
          <w:rFonts w:ascii="Arial" w:hAnsi="Arial" w:cs="Arial"/>
          <w:sz w:val="22"/>
          <w:szCs w:val="22"/>
        </w:rPr>
        <w:t>03</w:t>
      </w:r>
      <w:r w:rsidRPr="00B75F93">
        <w:rPr>
          <w:rFonts w:ascii="Arial" w:hAnsi="Arial" w:cs="Arial"/>
          <w:sz w:val="22"/>
          <w:szCs w:val="22"/>
        </w:rPr>
        <w:t>.201</w:t>
      </w:r>
      <w:r w:rsidR="0090545C">
        <w:rPr>
          <w:rFonts w:ascii="Arial" w:hAnsi="Arial" w:cs="Arial"/>
          <w:sz w:val="22"/>
          <w:szCs w:val="22"/>
        </w:rPr>
        <w:t>3</w:t>
      </w:r>
      <w:r w:rsidRPr="00B75F93">
        <w:rPr>
          <w:rFonts w:ascii="Arial" w:hAnsi="Arial" w:cs="Arial"/>
          <w:sz w:val="22"/>
          <w:szCs w:val="22"/>
        </w:rPr>
        <w:t>. од 8 до 14 сати у просторијама стечајног дужника);</w:t>
      </w:r>
    </w:p>
    <w:p w:rsidR="00B75F93" w:rsidRPr="00B75F93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Уплате новчани износ траженог депозита по функционалним целинама – за Целину 1 и Целину 2, на текући рачун стечајног дужника број:  </w:t>
      </w:r>
      <w:r w:rsidRPr="00B75F93">
        <w:rPr>
          <w:rFonts w:ascii="Arial" w:hAnsi="Arial" w:cs="Arial"/>
          <w:b/>
          <w:sz w:val="22"/>
          <w:szCs w:val="22"/>
        </w:rPr>
        <w:t>200-2386770101016-04</w:t>
      </w:r>
      <w:r w:rsidRPr="00B75F93">
        <w:rPr>
          <w:rFonts w:ascii="Arial" w:hAnsi="Arial" w:cs="Arial"/>
          <w:sz w:val="22"/>
          <w:szCs w:val="22"/>
        </w:rPr>
        <w:t xml:space="preserve"> или положе неопозиву банкарску гаранцију наплативу на први позив, најкасније до </w:t>
      </w:r>
      <w:r w:rsidRPr="00B75F93">
        <w:rPr>
          <w:rFonts w:ascii="Arial" w:hAnsi="Arial" w:cs="Arial"/>
          <w:b/>
          <w:sz w:val="22"/>
          <w:szCs w:val="22"/>
        </w:rPr>
        <w:t>1</w:t>
      </w:r>
      <w:r w:rsidR="0090545C">
        <w:rPr>
          <w:rFonts w:ascii="Arial" w:hAnsi="Arial" w:cs="Arial"/>
          <w:b/>
          <w:sz w:val="22"/>
          <w:szCs w:val="22"/>
        </w:rPr>
        <w:t>1</w:t>
      </w:r>
      <w:r w:rsidRPr="00B75F93">
        <w:rPr>
          <w:rFonts w:ascii="Arial" w:hAnsi="Arial" w:cs="Arial"/>
          <w:b/>
          <w:sz w:val="22"/>
          <w:szCs w:val="22"/>
        </w:rPr>
        <w:t>.</w:t>
      </w:r>
      <w:r w:rsidR="0090545C">
        <w:rPr>
          <w:rFonts w:ascii="Arial" w:hAnsi="Arial" w:cs="Arial"/>
          <w:b/>
          <w:sz w:val="22"/>
          <w:szCs w:val="22"/>
        </w:rPr>
        <w:t>03</w:t>
      </w:r>
      <w:r w:rsidRPr="00B75F93">
        <w:rPr>
          <w:rFonts w:ascii="Arial" w:hAnsi="Arial" w:cs="Arial"/>
          <w:b/>
          <w:sz w:val="22"/>
          <w:szCs w:val="22"/>
        </w:rPr>
        <w:t>.201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B75F93">
        <w:rPr>
          <w:rFonts w:ascii="Arial" w:hAnsi="Arial" w:cs="Arial"/>
          <w:sz w:val="22"/>
          <w:szCs w:val="22"/>
        </w:rPr>
        <w:t xml:space="preserve">. (рок за уплату новчаног износа је </w:t>
      </w:r>
      <w:r w:rsidRPr="00B75F93">
        <w:rPr>
          <w:rFonts w:ascii="Arial" w:hAnsi="Arial" w:cs="Arial"/>
          <w:b/>
          <w:sz w:val="22"/>
          <w:szCs w:val="22"/>
        </w:rPr>
        <w:t>1</w:t>
      </w:r>
      <w:r w:rsidR="0090545C">
        <w:rPr>
          <w:rFonts w:ascii="Arial" w:hAnsi="Arial" w:cs="Arial"/>
          <w:b/>
          <w:sz w:val="22"/>
          <w:szCs w:val="22"/>
        </w:rPr>
        <w:t>1.03</w:t>
      </w:r>
      <w:r w:rsidRPr="00B75F93">
        <w:rPr>
          <w:rFonts w:ascii="Arial" w:hAnsi="Arial" w:cs="Arial"/>
          <w:b/>
          <w:sz w:val="22"/>
          <w:szCs w:val="22"/>
        </w:rPr>
        <w:t>.201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B75F93">
        <w:rPr>
          <w:rFonts w:ascii="Arial" w:hAnsi="Arial" w:cs="Arial"/>
          <w:sz w:val="22"/>
          <w:szCs w:val="22"/>
        </w:rPr>
        <w:t>.) У случају да у поступку продаје победи Купац који је новчани износ обезбедио банкарском гаранцијом, исти мора измирити новчани износ у року од 48 сати од дана када је проглашен најбољим понуђачем, а пре потписивања купопродајног уговора, након чега ће му бити враћена гаранција.</w:t>
      </w:r>
    </w:p>
    <w:p w:rsidR="00B75F93" w:rsidRPr="00B75F93" w:rsidRDefault="00B75F93" w:rsidP="00B75F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Потпишу изјаву о губитку права на нраћање депозита. Изјава чини саставни део продајне документације.</w:t>
      </w:r>
    </w:p>
    <w:p w:rsid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Прихватају се искључиво запечаћење понуде са назнаком „ Понуда“ на коверти и назнаком да се понуда односи на продају имовине АД „ Пекара Кикинда“ у стечају из Кикинде. 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Запечаћена коверта са понудом треба да садржи: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Пријаву за учешће, потписану лично или од стране овлашћеног лица и доказ да је у питању овлашћено лице;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Безусловну понуду, уз навођење јасно одређеног износа на који понуда гласи;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Доказ о уплати депозита или копију гаранције,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Потписну изјаву о губитку права на повраћај депозита;</w:t>
      </w:r>
    </w:p>
    <w:p w:rsidR="00B75F93" w:rsidRPr="00B75F93" w:rsidRDefault="00B75F93" w:rsidP="00B75F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Фотокопију пуномоћја овереног пред судом за заступање на јавном отварању понуда, а ради посупка непосредне погодбе, ако отварању присуствује овлашћени представник.</w:t>
      </w:r>
    </w:p>
    <w:p w:rsid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90545C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b/>
          <w:sz w:val="22"/>
          <w:szCs w:val="22"/>
        </w:rPr>
        <w:t>Јавно отварање понуда</w:t>
      </w:r>
      <w:r w:rsidRPr="00B75F93">
        <w:rPr>
          <w:rFonts w:ascii="Arial" w:hAnsi="Arial" w:cs="Arial"/>
          <w:sz w:val="22"/>
          <w:szCs w:val="22"/>
        </w:rPr>
        <w:t xml:space="preserve"> ће се одржати дана </w:t>
      </w:r>
      <w:r w:rsidRPr="00B75F93">
        <w:rPr>
          <w:rFonts w:ascii="Arial" w:hAnsi="Arial" w:cs="Arial"/>
          <w:b/>
          <w:sz w:val="22"/>
          <w:szCs w:val="22"/>
        </w:rPr>
        <w:t>1</w:t>
      </w:r>
      <w:r w:rsidR="0090545C">
        <w:rPr>
          <w:rFonts w:ascii="Arial" w:hAnsi="Arial" w:cs="Arial"/>
          <w:b/>
          <w:sz w:val="22"/>
          <w:szCs w:val="22"/>
        </w:rPr>
        <w:t>4</w:t>
      </w:r>
      <w:r w:rsidRPr="00B75F93">
        <w:rPr>
          <w:rFonts w:ascii="Arial" w:hAnsi="Arial" w:cs="Arial"/>
          <w:b/>
          <w:sz w:val="22"/>
          <w:szCs w:val="22"/>
        </w:rPr>
        <w:t>.</w:t>
      </w:r>
      <w:r w:rsidR="0090545C">
        <w:rPr>
          <w:rFonts w:ascii="Arial" w:hAnsi="Arial" w:cs="Arial"/>
          <w:b/>
          <w:sz w:val="22"/>
          <w:szCs w:val="22"/>
        </w:rPr>
        <w:t>03</w:t>
      </w:r>
      <w:r w:rsidRPr="00B75F93">
        <w:rPr>
          <w:rFonts w:ascii="Arial" w:hAnsi="Arial" w:cs="Arial"/>
          <w:b/>
          <w:sz w:val="22"/>
          <w:szCs w:val="22"/>
        </w:rPr>
        <w:t>.201</w:t>
      </w:r>
      <w:r w:rsidR="0090545C">
        <w:rPr>
          <w:rFonts w:ascii="Arial" w:hAnsi="Arial" w:cs="Arial"/>
          <w:b/>
          <w:sz w:val="22"/>
          <w:szCs w:val="22"/>
        </w:rPr>
        <w:t>3</w:t>
      </w:r>
      <w:r w:rsidRPr="00B75F93">
        <w:rPr>
          <w:rFonts w:ascii="Arial" w:hAnsi="Arial" w:cs="Arial"/>
          <w:b/>
          <w:sz w:val="22"/>
          <w:szCs w:val="22"/>
        </w:rPr>
        <w:t>. у 12,15 сати</w:t>
      </w:r>
      <w:r w:rsidRPr="00B75F93">
        <w:rPr>
          <w:rFonts w:ascii="Arial" w:hAnsi="Arial" w:cs="Arial"/>
          <w:sz w:val="22"/>
          <w:szCs w:val="22"/>
        </w:rPr>
        <w:t xml:space="preserve"> у Кикинди на адреси: Светосавска 59 у присуству Комисије и </w:t>
      </w:r>
      <w:r w:rsidR="0090545C">
        <w:rPr>
          <w:rFonts w:ascii="Arial" w:hAnsi="Arial" w:cs="Arial"/>
          <w:sz w:val="22"/>
          <w:szCs w:val="22"/>
        </w:rPr>
        <w:t>заинтересованих лица.</w:t>
      </w:r>
    </w:p>
    <w:p w:rsidR="00AD4180" w:rsidRDefault="00AD4180" w:rsidP="00B75F93">
      <w:pPr>
        <w:jc w:val="both"/>
        <w:rPr>
          <w:rFonts w:ascii="Arial" w:hAnsi="Arial" w:cs="Arial"/>
          <w:b/>
          <w:sz w:val="22"/>
          <w:szCs w:val="22"/>
        </w:rPr>
      </w:pPr>
    </w:p>
    <w:p w:rsidR="00AD4180" w:rsidRDefault="0090545C" w:rsidP="00B75F93">
      <w:pPr>
        <w:jc w:val="both"/>
        <w:rPr>
          <w:rFonts w:ascii="Arial" w:hAnsi="Arial" w:cs="Arial"/>
          <w:sz w:val="22"/>
          <w:szCs w:val="22"/>
        </w:rPr>
      </w:pPr>
      <w:r w:rsidRPr="0090545C">
        <w:rPr>
          <w:rFonts w:ascii="Arial" w:hAnsi="Arial" w:cs="Arial"/>
          <w:b/>
          <w:sz w:val="22"/>
          <w:szCs w:val="22"/>
        </w:rPr>
        <w:t>Непосредна погодба</w:t>
      </w:r>
      <w:r>
        <w:rPr>
          <w:rFonts w:ascii="Arial" w:hAnsi="Arial" w:cs="Arial"/>
          <w:sz w:val="22"/>
          <w:szCs w:val="22"/>
        </w:rPr>
        <w:t xml:space="preserve"> ће се извршити дана </w:t>
      </w:r>
      <w:r w:rsidRPr="0090545C">
        <w:rPr>
          <w:rFonts w:ascii="Arial" w:hAnsi="Arial" w:cs="Arial"/>
          <w:b/>
          <w:sz w:val="22"/>
          <w:szCs w:val="22"/>
        </w:rPr>
        <w:t>19.03.2013</w:t>
      </w:r>
      <w:r>
        <w:rPr>
          <w:rFonts w:ascii="Arial" w:hAnsi="Arial" w:cs="Arial"/>
          <w:sz w:val="22"/>
          <w:szCs w:val="22"/>
        </w:rPr>
        <w:t xml:space="preserve">. </w:t>
      </w:r>
      <w:r w:rsidR="00AD4180">
        <w:rPr>
          <w:rFonts w:ascii="Arial" w:hAnsi="Arial" w:cs="Arial"/>
          <w:sz w:val="22"/>
          <w:szCs w:val="22"/>
        </w:rPr>
        <w:t>у просторијама стечајног дуж</w:t>
      </w:r>
      <w:r>
        <w:rPr>
          <w:rFonts w:ascii="Arial" w:hAnsi="Arial" w:cs="Arial"/>
          <w:sz w:val="22"/>
          <w:szCs w:val="22"/>
        </w:rPr>
        <w:t xml:space="preserve">ника, на коју се позивају сва лица која </w:t>
      </w:r>
      <w:r w:rsidR="00AD4180">
        <w:rPr>
          <w:rFonts w:ascii="Arial" w:hAnsi="Arial" w:cs="Arial"/>
          <w:sz w:val="22"/>
          <w:szCs w:val="22"/>
        </w:rPr>
        <w:t xml:space="preserve">су доставила </w:t>
      </w:r>
      <w:r>
        <w:rPr>
          <w:rFonts w:ascii="Arial" w:hAnsi="Arial" w:cs="Arial"/>
          <w:sz w:val="22"/>
          <w:szCs w:val="22"/>
        </w:rPr>
        <w:t>понуду</w:t>
      </w:r>
      <w:r w:rsidR="00AD4180">
        <w:rPr>
          <w:rFonts w:ascii="Arial" w:hAnsi="Arial" w:cs="Arial"/>
          <w:sz w:val="22"/>
          <w:szCs w:val="22"/>
        </w:rPr>
        <w:t>, и то:</w:t>
      </w:r>
    </w:p>
    <w:p w:rsidR="00AD4180" w:rsidRDefault="00AD4180" w:rsidP="00B75F93">
      <w:pPr>
        <w:jc w:val="both"/>
        <w:rPr>
          <w:rFonts w:ascii="Arial" w:hAnsi="Arial" w:cs="Arial"/>
          <w:sz w:val="22"/>
          <w:szCs w:val="22"/>
        </w:rPr>
      </w:pPr>
    </w:p>
    <w:p w:rsidR="00AD4180" w:rsidRDefault="00AD4180" w:rsidP="00AD418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Целину 1 у 10 сати,</w:t>
      </w:r>
    </w:p>
    <w:p w:rsidR="00AD4180" w:rsidRDefault="00AD4180" w:rsidP="00AD418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Целину 2. У 11 сати и</w:t>
      </w:r>
    </w:p>
    <w:p w:rsidR="00AD4180" w:rsidRPr="00AD4180" w:rsidRDefault="00AD4180" w:rsidP="00AD418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осталу опрему у 12 сати.</w:t>
      </w:r>
    </w:p>
    <w:p w:rsidR="00AD4180" w:rsidRDefault="00AD4180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lastRenderedPageBreak/>
        <w:t xml:space="preserve">Позивају се чланови Одбора поверилаца да присуствују отварању понуда и директним преговорима. 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отвара понуде тако што: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Чита правила отварања писмених понуда;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Отвара писмене понуде;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Уписује у регистар понуда износ одређен у свакој понуди, имовину на коју се понуда односи, као и потврду о уплаћеном депозиту;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Одржава ред на јавном отварању понуда;</w:t>
      </w:r>
    </w:p>
    <w:p w:rsidR="00B75F93" w:rsidRPr="00B75F93" w:rsidRDefault="00B75F93" w:rsidP="00B75F9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Потписује записник.</w:t>
      </w:r>
    </w:p>
    <w:p w:rsidR="00B75F93" w:rsidRPr="00B75F93" w:rsidRDefault="00AD4180" w:rsidP="00B75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Стечајни управник, води поступак непосредне погодбе. </w:t>
      </w:r>
      <w:r w:rsidR="00B75F93" w:rsidRPr="00B75F93">
        <w:rPr>
          <w:rFonts w:ascii="Arial" w:hAnsi="Arial" w:cs="Arial"/>
          <w:sz w:val="22"/>
          <w:szCs w:val="22"/>
        </w:rPr>
        <w:t>Осталим учесницима у  поступку продаје, који нису проглашени најбољим понуђачем, новчани износ или банкарска гаранција биће враћена у року од 3 дана, односно до 2</w:t>
      </w:r>
      <w:r>
        <w:rPr>
          <w:rFonts w:ascii="Arial" w:hAnsi="Arial" w:cs="Arial"/>
          <w:sz w:val="22"/>
          <w:szCs w:val="22"/>
        </w:rPr>
        <w:t>3</w:t>
      </w:r>
      <w:r w:rsidR="00B75F93" w:rsidRPr="00B75F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="00B75F93" w:rsidRPr="00B75F93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</w:t>
      </w:r>
      <w:r w:rsidR="00B75F93" w:rsidRPr="00B75F93">
        <w:rPr>
          <w:rFonts w:ascii="Arial" w:hAnsi="Arial" w:cs="Arial"/>
          <w:sz w:val="22"/>
          <w:szCs w:val="22"/>
        </w:rPr>
        <w:t>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ће Одбору поверилаца/ стечајном судији за Купца предложити понуђача који је писменом понудом или у накнадно обављеним директним преговорима поднео најповољнију понуду, а нарочито у погледу висине цене.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Купопродајни уговор се потписује у року од 3 дана од дана проглашења најбољег понуђача, под условом да је новчани износ ради учествовања у поступку продаје који је обезбеђен гаранцијом уплаћен на рачун стечајног дужника. Уговором о купопродаји ће детаљно бити регулисани услови и рокови плаћања. Тек након уплате купопродајне цене од стране Купца и након добијања потврде од стране стечајног дужника о извршеној уплати у целости, исти стиче право на укњижбу непокретности, док код покретне имовине Купац стиче право власништва моментом уплате купопродајне цене.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Свако лице које је стекло право на учешће у складу са условима прописаним овим огласом, губи право на враћање новчаног износа у складу са Изјавом о губитку права на враћање новчаног износа.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Ако проглашени купац не потпише записник, купопродајни уговор или не уплати купопродајну цену у року предвиђеном Уговором, као и у свим другим случајевима предвиђеним Изјавом о губитку права на враћање новчаног износа, губи право на враћање новчаног износа.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управник није у обавези да прихвати ниједну достављену понуду.</w:t>
      </w:r>
    </w:p>
    <w:p w:rsid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Коначну одлуку о избору Купца непосредном погодбом доноси искључиво Одбор поверилаца, ако је нижа од 50% од процењене вредности имовине.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Порезе и трошкове сноси проглашени Купац.</w:t>
      </w:r>
    </w:p>
    <w:p w:rsidR="00B75F93" w:rsidRPr="00B75F93" w:rsidRDefault="00B75F93" w:rsidP="00B75F93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 xml:space="preserve">Овлашћено лице: Милица Богуновић, контакт телефон: 060/0502060. </w:t>
      </w:r>
    </w:p>
    <w:p w:rsidR="00B75F93" w:rsidRPr="00B75F93" w:rsidRDefault="00B75F93" w:rsidP="00B75F93">
      <w:pPr>
        <w:ind w:left="780"/>
        <w:jc w:val="both"/>
        <w:rPr>
          <w:rFonts w:ascii="Arial" w:hAnsi="Arial" w:cs="Arial"/>
          <w:sz w:val="22"/>
          <w:szCs w:val="22"/>
        </w:rPr>
      </w:pPr>
    </w:p>
    <w:p w:rsidR="00B75F93" w:rsidRPr="00B75F93" w:rsidRDefault="00B75F93" w:rsidP="00FB47D7">
      <w:pPr>
        <w:jc w:val="both"/>
        <w:rPr>
          <w:rFonts w:ascii="Arial" w:hAnsi="Arial" w:cs="Arial"/>
          <w:sz w:val="22"/>
          <w:szCs w:val="22"/>
        </w:rPr>
      </w:pPr>
    </w:p>
    <w:p w:rsidR="00FB47D7" w:rsidRPr="00B75F93" w:rsidRDefault="00FB47D7" w:rsidP="00FB47D7">
      <w:pPr>
        <w:ind w:left="4956" w:firstLine="708"/>
        <w:outlineLvl w:val="0"/>
        <w:rPr>
          <w:rFonts w:ascii="Arial" w:hAnsi="Arial" w:cs="Arial"/>
          <w:sz w:val="22"/>
          <w:szCs w:val="22"/>
          <w:lang w:val="hr-HR"/>
        </w:rPr>
      </w:pPr>
      <w:r w:rsidRPr="00B75F93">
        <w:rPr>
          <w:rFonts w:ascii="Arial" w:hAnsi="Arial" w:cs="Arial"/>
          <w:sz w:val="22"/>
          <w:szCs w:val="22"/>
          <w:lang w:val="hr-HR"/>
        </w:rPr>
        <w:t xml:space="preserve">Стечајни управник </w:t>
      </w:r>
    </w:p>
    <w:p w:rsidR="00FB47D7" w:rsidRPr="00B75F93" w:rsidRDefault="00FB47D7" w:rsidP="00FB47D7">
      <w:pPr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</w:r>
      <w:r w:rsidRPr="00B75F93">
        <w:rPr>
          <w:rFonts w:ascii="Arial" w:hAnsi="Arial" w:cs="Arial"/>
          <w:sz w:val="22"/>
          <w:szCs w:val="22"/>
          <w:lang w:val="hr-HR"/>
        </w:rPr>
        <w:tab/>
        <w:t xml:space="preserve">      </w:t>
      </w:r>
      <w:r w:rsidR="00A35314" w:rsidRPr="00B75F93">
        <w:rPr>
          <w:rFonts w:ascii="Arial" w:hAnsi="Arial" w:cs="Arial"/>
          <w:sz w:val="22"/>
          <w:szCs w:val="22"/>
        </w:rPr>
        <w:t xml:space="preserve">    </w:t>
      </w:r>
      <w:r w:rsidRPr="00B75F93">
        <w:rPr>
          <w:rFonts w:ascii="Arial" w:hAnsi="Arial" w:cs="Arial"/>
          <w:sz w:val="22"/>
          <w:szCs w:val="22"/>
        </w:rPr>
        <w:t>Милица Богуновић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E623D" w:rsidRPr="00B75F93" w:rsidRDefault="006260FD" w:rsidP="000E623D">
      <w:pPr>
        <w:pBdr>
          <w:top w:val="single" w:sz="4" w:space="1" w:color="auto"/>
        </w:pBd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75F93">
        <w:rPr>
          <w:rFonts w:ascii="Arial" w:hAnsi="Arial" w:cs="Arial"/>
          <w:b/>
          <w:sz w:val="22"/>
          <w:szCs w:val="22"/>
        </w:rPr>
        <w:t>Поука о правном леку</w:t>
      </w:r>
      <w:r w:rsidR="000E623D" w:rsidRPr="00B75F93">
        <w:rPr>
          <w:rFonts w:ascii="Arial" w:hAnsi="Arial" w:cs="Arial"/>
          <w:b/>
          <w:sz w:val="22"/>
          <w:szCs w:val="22"/>
        </w:rPr>
        <w:t xml:space="preserve">: 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Разлучни поверилац може у року од 10 дана од пријема овог Обавештења, да предложи повољнији начин уновчења имовине.</w:t>
      </w:r>
    </w:p>
    <w:p w:rsidR="000E623D" w:rsidRPr="00B75F93" w:rsidRDefault="000E623D" w:rsidP="000E62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5F93">
        <w:rPr>
          <w:rFonts w:ascii="Arial" w:hAnsi="Arial" w:cs="Arial"/>
          <w:sz w:val="22"/>
          <w:szCs w:val="22"/>
        </w:rPr>
        <w:t>Стечајни дужник и повериоци могу поднети приговор стечајном судију на предложену продају најкасније у року од 10 дана пре предложеног датума продаје или преноса, ако за њега постоји прописан основ.</w:t>
      </w:r>
    </w:p>
    <w:p w:rsidR="00945A64" w:rsidRDefault="00945A64"/>
    <w:sectPr w:rsidR="00945A64" w:rsidSect="00286D8D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AA" w:rsidRDefault="00A052AA">
      <w:r>
        <w:separator/>
      </w:r>
    </w:p>
  </w:endnote>
  <w:endnote w:type="continuationSeparator" w:id="1">
    <w:p w:rsidR="00A052AA" w:rsidRDefault="00A0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8D" w:rsidRDefault="004A31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6D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D8D" w:rsidRDefault="00286D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5"/>
      <w:docPartObj>
        <w:docPartGallery w:val="Page Numbers (Bottom of Page)"/>
        <w:docPartUnique/>
      </w:docPartObj>
    </w:sdtPr>
    <w:sdtContent>
      <w:p w:rsidR="004E7067" w:rsidRDefault="004E7067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86D8D" w:rsidRDefault="00286D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AA" w:rsidRDefault="00A052AA">
      <w:r>
        <w:separator/>
      </w:r>
    </w:p>
  </w:footnote>
  <w:footnote w:type="continuationSeparator" w:id="1">
    <w:p w:rsidR="00A052AA" w:rsidRDefault="00A0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8D" w:rsidRPr="00067E69" w:rsidRDefault="00286D8D" w:rsidP="00286D8D">
    <w:pPr>
      <w:pBdr>
        <w:bottom w:val="single" w:sz="4" w:space="1" w:color="auto"/>
      </w:pBdr>
      <w:tabs>
        <w:tab w:val="left" w:pos="1800"/>
      </w:tabs>
      <w:ind w:left="1800" w:hanging="1800"/>
      <w:rPr>
        <w:rFonts w:ascii="Arial" w:hAnsi="Arial" w:cs="Arial"/>
        <w:sz w:val="20"/>
        <w:szCs w:val="20"/>
        <w:lang w:val="ru-RU"/>
      </w:rPr>
    </w:pPr>
    <w:r w:rsidRPr="00067E69">
      <w:rPr>
        <w:rFonts w:ascii="Arial" w:hAnsi="Arial" w:cs="Arial"/>
        <w:sz w:val="20"/>
        <w:szCs w:val="20"/>
        <w:lang w:val="ru-RU"/>
      </w:rPr>
      <w:t>Обавештење о намери, плану, начину и роковима продаје имовине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E86"/>
    <w:multiLevelType w:val="hybridMultilevel"/>
    <w:tmpl w:val="2218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2D28"/>
    <w:multiLevelType w:val="hybridMultilevel"/>
    <w:tmpl w:val="0C7C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644"/>
    <w:multiLevelType w:val="hybridMultilevel"/>
    <w:tmpl w:val="80BE9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2095"/>
    <w:multiLevelType w:val="hybridMultilevel"/>
    <w:tmpl w:val="324A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508E"/>
    <w:multiLevelType w:val="hybridMultilevel"/>
    <w:tmpl w:val="5164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6595"/>
    <w:multiLevelType w:val="hybridMultilevel"/>
    <w:tmpl w:val="815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C5A62"/>
    <w:multiLevelType w:val="hybridMultilevel"/>
    <w:tmpl w:val="79AE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B18F3"/>
    <w:multiLevelType w:val="hybridMultilevel"/>
    <w:tmpl w:val="95DC816A"/>
    <w:lvl w:ilvl="0" w:tplc="CDB2DE8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3127904"/>
    <w:multiLevelType w:val="multilevel"/>
    <w:tmpl w:val="AC06D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color w:val="auto"/>
        <w:sz w:val="22"/>
      </w:rPr>
    </w:lvl>
  </w:abstractNum>
  <w:abstractNum w:abstractNumId="9">
    <w:nsid w:val="6531440C"/>
    <w:multiLevelType w:val="hybridMultilevel"/>
    <w:tmpl w:val="9EF0D5D0"/>
    <w:lvl w:ilvl="0" w:tplc="FE92B4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30349"/>
    <w:multiLevelType w:val="hybridMultilevel"/>
    <w:tmpl w:val="4F40B736"/>
    <w:lvl w:ilvl="0" w:tplc="55065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23D"/>
    <w:rsid w:val="00030F4B"/>
    <w:rsid w:val="00096757"/>
    <w:rsid w:val="000C7CCE"/>
    <w:rsid w:val="000D61F7"/>
    <w:rsid w:val="000E623D"/>
    <w:rsid w:val="00110783"/>
    <w:rsid w:val="00122DA1"/>
    <w:rsid w:val="00154260"/>
    <w:rsid w:val="001A67B0"/>
    <w:rsid w:val="001E54C6"/>
    <w:rsid w:val="001E7365"/>
    <w:rsid w:val="00224E48"/>
    <w:rsid w:val="00240A8F"/>
    <w:rsid w:val="0024747F"/>
    <w:rsid w:val="00286D8D"/>
    <w:rsid w:val="00291502"/>
    <w:rsid w:val="00307351"/>
    <w:rsid w:val="003911A3"/>
    <w:rsid w:val="003A6E26"/>
    <w:rsid w:val="003D64D7"/>
    <w:rsid w:val="00426175"/>
    <w:rsid w:val="004A3199"/>
    <w:rsid w:val="004A3FA3"/>
    <w:rsid w:val="004D6443"/>
    <w:rsid w:val="004E7067"/>
    <w:rsid w:val="005159A5"/>
    <w:rsid w:val="00520B4B"/>
    <w:rsid w:val="005732CB"/>
    <w:rsid w:val="005B5F8F"/>
    <w:rsid w:val="005C6804"/>
    <w:rsid w:val="006260FD"/>
    <w:rsid w:val="006325F6"/>
    <w:rsid w:val="006333F1"/>
    <w:rsid w:val="00691DAA"/>
    <w:rsid w:val="0074287F"/>
    <w:rsid w:val="007A55D3"/>
    <w:rsid w:val="008441FC"/>
    <w:rsid w:val="00854CBD"/>
    <w:rsid w:val="00861769"/>
    <w:rsid w:val="008B0B19"/>
    <w:rsid w:val="0090545C"/>
    <w:rsid w:val="00925624"/>
    <w:rsid w:val="009333BA"/>
    <w:rsid w:val="00941DDC"/>
    <w:rsid w:val="00945A64"/>
    <w:rsid w:val="00A052AA"/>
    <w:rsid w:val="00A26FC3"/>
    <w:rsid w:val="00A35314"/>
    <w:rsid w:val="00A51BBB"/>
    <w:rsid w:val="00A64C31"/>
    <w:rsid w:val="00A82288"/>
    <w:rsid w:val="00AB28B6"/>
    <w:rsid w:val="00AC68D7"/>
    <w:rsid w:val="00AC7A8D"/>
    <w:rsid w:val="00AD4180"/>
    <w:rsid w:val="00AD5C67"/>
    <w:rsid w:val="00AD6309"/>
    <w:rsid w:val="00B14ADF"/>
    <w:rsid w:val="00B20FD9"/>
    <w:rsid w:val="00B36E83"/>
    <w:rsid w:val="00B6272B"/>
    <w:rsid w:val="00B75F93"/>
    <w:rsid w:val="00BC47EF"/>
    <w:rsid w:val="00BD049B"/>
    <w:rsid w:val="00BD3050"/>
    <w:rsid w:val="00C07109"/>
    <w:rsid w:val="00C12841"/>
    <w:rsid w:val="00C52752"/>
    <w:rsid w:val="00C91A47"/>
    <w:rsid w:val="00D73D40"/>
    <w:rsid w:val="00DF1F47"/>
    <w:rsid w:val="00E34F89"/>
    <w:rsid w:val="00E43CC4"/>
    <w:rsid w:val="00E647EC"/>
    <w:rsid w:val="00E661D8"/>
    <w:rsid w:val="00E76AB8"/>
    <w:rsid w:val="00E816C8"/>
    <w:rsid w:val="00EA062E"/>
    <w:rsid w:val="00EC7D46"/>
    <w:rsid w:val="00ED5522"/>
    <w:rsid w:val="00F16355"/>
    <w:rsid w:val="00FB47D7"/>
    <w:rsid w:val="00FC0D83"/>
    <w:rsid w:val="00FC7DE1"/>
    <w:rsid w:val="00F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3D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623D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E623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E623D"/>
  </w:style>
  <w:style w:type="paragraph" w:styleId="BodyTextIndent">
    <w:name w:val="Body Text Indent"/>
    <w:basedOn w:val="Normal"/>
    <w:link w:val="BodyTextIndentChar"/>
    <w:semiHidden/>
    <w:unhideWhenUsed/>
    <w:rsid w:val="008441FC"/>
    <w:pPr>
      <w:ind w:firstLine="720"/>
      <w:jc w:val="both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41FC"/>
    <w:rPr>
      <w:rFonts w:ascii="Times New Roman" w:eastAsia="Times New Roman" w:hAnsi="Times New Roman"/>
      <w:sz w:val="24"/>
      <w:szCs w:val="24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47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47D7"/>
    <w:rPr>
      <w:rFonts w:ascii="Times New Roman" w:eastAsia="Times New Roman" w:hAnsi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110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7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067"/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2013-02-15T14:32:00Z</dcterms:created>
  <dcterms:modified xsi:type="dcterms:W3CDTF">2013-02-15T14:55:00Z</dcterms:modified>
</cp:coreProperties>
</file>